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line">
                  <wp:posOffset>-5714</wp:posOffset>
                </wp:positionV>
                <wp:extent cx="2533650" cy="112522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1252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Stadt Eberbach </w:t>
                            </w:r>
                          </w:p>
                          <w:p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Stadtbauamt </w:t>
                            </w:r>
                          </w:p>
                          <w:p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Leopoldsplatz 1</w:t>
                            </w:r>
                          </w:p>
                          <w:p>
                            <w:pPr>
                              <w:pStyle w:val="Standard"/>
                            </w:pPr>
                          </w:p>
                          <w:p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69412 Eberbach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23.2pt;margin-top:-0.4pt;width:199.5pt;height:88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 xml:space="preserve">Stadt Eberbach </w:t>
                      </w:r>
                    </w:p>
                    <w:p>
                      <w:pPr>
                        <w:pStyle w:val="Standard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 xml:space="preserve">Stadtbauamt </w:t>
                      </w:r>
                    </w:p>
                    <w:p>
                      <w:pPr>
                        <w:pStyle w:val="Standard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Leopoldsplatz 1</w:t>
                      </w:r>
                    </w:p>
                    <w:p>
                      <w:pPr>
                        <w:pStyle w:val="Standard"/>
                      </w:pPr>
                    </w:p>
                    <w:p>
                      <w:pPr>
                        <w:pStyle w:val="Standard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69412 Eberbach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line">
                  <wp:posOffset>-167640</wp:posOffset>
                </wp:positionV>
                <wp:extent cx="3197225" cy="160718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225" cy="16071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Absender:</w:t>
                            </w:r>
                          </w:p>
                          <w:p>
                            <w:pPr>
                              <w:pStyle w:val="Standard"/>
                            </w:pPr>
                          </w:p>
                          <w:p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...                                                               </w:t>
                            </w:r>
                          </w:p>
                          <w:p>
                            <w:pPr>
                              <w:pStyle w:val="Standard"/>
                            </w:pPr>
                          </w:p>
                          <w:p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...</w:t>
                            </w:r>
                          </w:p>
                          <w:p>
                            <w:pPr>
                              <w:pStyle w:val="Standard"/>
                            </w:pPr>
                          </w:p>
                          <w:p>
                            <w:pPr>
                              <w:pStyle w:val="Standard"/>
                            </w:pPr>
                          </w:p>
                          <w:p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...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11.6pt;margin-top:-13.2pt;width:251.8pt;height:126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Absender:</w:t>
                      </w:r>
                    </w:p>
                    <w:p>
                      <w:pPr>
                        <w:pStyle w:val="Standard"/>
                      </w:pPr>
                    </w:p>
                    <w:p>
                      <w:pPr>
                        <w:pStyle w:val="Standard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…………………………………………</w:t>
                      </w: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 xml:space="preserve">...                                                               </w:t>
                      </w:r>
                    </w:p>
                    <w:p>
                      <w:pPr>
                        <w:pStyle w:val="Standard"/>
                      </w:pPr>
                    </w:p>
                    <w:p>
                      <w:pPr>
                        <w:pStyle w:val="Standard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…………………………………………</w:t>
                      </w: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...</w:t>
                      </w:r>
                    </w:p>
                    <w:p>
                      <w:pPr>
                        <w:pStyle w:val="Standard"/>
                      </w:pPr>
                    </w:p>
                    <w:p>
                      <w:pPr>
                        <w:pStyle w:val="Standard"/>
                      </w:pPr>
                    </w:p>
                    <w:p>
                      <w:pPr>
                        <w:pStyle w:val="Standard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…………………………………………</w:t>
                      </w:r>
                      <w:r>
                        <w:rPr>
                          <w:sz w:val="22"/>
                          <w:szCs w:val="22"/>
                          <w:rtl w:val="0"/>
                          <w:lang w:val="de-DE"/>
                        </w:rPr>
                        <w:t>...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b w:val="1"/>
          <w:bCs w:val="1"/>
          <w:sz w:val="22"/>
          <w:szCs w:val="22"/>
          <w:shd w:val="clear" w:color="auto" w:fill="ffffff"/>
        </w:rPr>
      </w:pPr>
    </w:p>
    <w:p>
      <w:pPr>
        <w:pStyle w:val="Standard"/>
        <w:rPr>
          <w:rStyle w:val="Fett"/>
        </w:rPr>
      </w:pPr>
      <w:r>
        <w:rPr>
          <w:rStyle w:val="Fett"/>
          <w:rtl w:val="0"/>
          <w:lang w:val="de-DE"/>
        </w:rPr>
        <w:t>Stellungnahme  zur Aufstellung eines TFNP der Verwaltungsverb</w:t>
      </w:r>
      <w:r>
        <w:rPr>
          <w:rStyle w:val="Fett"/>
          <w:rtl w:val="0"/>
          <w:lang w:val="de-DE"/>
        </w:rPr>
        <w:t>ä</w:t>
      </w:r>
      <w:r>
        <w:rPr>
          <w:rStyle w:val="Fett"/>
          <w:rtl w:val="0"/>
          <w:lang w:val="de-DE"/>
        </w:rPr>
        <w:t>nde GVV Kleiner Odenwald sowie vVG Eberbach-Sch</w:t>
      </w:r>
      <w:r>
        <w:rPr>
          <w:rStyle w:val="Fett"/>
          <w:rtl w:val="0"/>
          <w:lang w:val="de-DE"/>
        </w:rPr>
        <w:t>ö</w:t>
      </w:r>
      <w:r>
        <w:rPr>
          <w:rStyle w:val="Fett"/>
          <w:rtl w:val="0"/>
          <w:lang w:val="de-DE"/>
        </w:rPr>
        <w:t xml:space="preserve">nbrunn - nach </w:t>
      </w:r>
      <w:r>
        <w:rPr>
          <w:rStyle w:val="Fett"/>
          <w:rtl w:val="0"/>
          <w:lang w:val="de-DE"/>
        </w:rPr>
        <w:t xml:space="preserve">§ </w:t>
      </w:r>
      <w:r>
        <w:rPr>
          <w:rStyle w:val="Fett"/>
          <w:rtl w:val="0"/>
          <w:lang w:val="de-DE"/>
        </w:rPr>
        <w:t xml:space="preserve">5 Abs. 2 b BauGB - nach </w:t>
      </w:r>
      <w:r>
        <w:rPr>
          <w:rStyle w:val="Fett"/>
          <w:rtl w:val="0"/>
          <w:lang w:val="de-DE"/>
        </w:rPr>
        <w:t xml:space="preserve">§ </w:t>
      </w:r>
      <w:r>
        <w:rPr>
          <w:rStyle w:val="Fett"/>
          <w:rtl w:val="0"/>
          <w:lang w:val="de-DE"/>
        </w:rPr>
        <w:t>5 Abs. 2 b des Baugesetzbuches (BauGB)</w:t>
      </w:r>
    </w:p>
    <w:p>
      <w:pPr>
        <w:pStyle w:val="Standard"/>
        <w:rPr>
          <w:rStyle w:val="Fett"/>
        </w:rPr>
      </w:pPr>
      <w:r>
        <w:rPr>
          <w:rStyle w:val="Fett"/>
          <w:rtl w:val="0"/>
          <w:lang w:val="de-DE"/>
        </w:rPr>
        <w:t>Bekanntgabe des Aufstellungsbeschlusses</w:t>
      </w:r>
    </w:p>
    <w:p>
      <w:pPr>
        <w:pStyle w:val="Standard"/>
        <w:rPr>
          <w:rStyle w:val="Fett"/>
        </w:rPr>
      </w:pPr>
      <w:r>
        <w:rPr>
          <w:rStyle w:val="Fett"/>
          <w:rtl w:val="0"/>
          <w:lang w:val="de-DE"/>
        </w:rPr>
        <w:t xml:space="preserve">Beteiligung der </w:t>
      </w:r>
      <w:r>
        <w:rPr>
          <w:rStyle w:val="Fett"/>
          <w:rtl w:val="0"/>
          <w:lang w:val="de-DE"/>
        </w:rPr>
        <w:t>Ö</w:t>
      </w:r>
      <w:r>
        <w:rPr>
          <w:rStyle w:val="Fett"/>
          <w:rtl w:val="0"/>
          <w:lang w:val="de-DE"/>
        </w:rPr>
        <w:t>ffentlichkeit gem</w:t>
      </w:r>
      <w:r>
        <w:rPr>
          <w:rStyle w:val="Fett"/>
          <w:rtl w:val="0"/>
          <w:lang w:val="de-DE"/>
        </w:rPr>
        <w:t xml:space="preserve">äß § </w:t>
      </w:r>
      <w:r>
        <w:rPr>
          <w:rStyle w:val="Fett"/>
          <w:rtl w:val="0"/>
          <w:lang w:val="de-DE"/>
        </w:rPr>
        <w:t>3 Abs. 1 BauGB</w:t>
      </w:r>
    </w:p>
    <w:p>
      <w:pPr>
        <w:pStyle w:val="Standard"/>
        <w:rPr>
          <w:rStyle w:val="Fett"/>
          <w:b w:val="1"/>
          <w:bCs w:val="1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Ich erhebe folgende Einwendungen gegen den obigen TFNP: </w:t>
      </w:r>
    </w:p>
    <w:p>
      <w:pPr>
        <w:pStyle w:val="Standard"/>
        <w:rPr>
          <w:b w:val="1"/>
          <w:bCs w:val="1"/>
          <w:sz w:val="22"/>
          <w:szCs w:val="22"/>
        </w:rPr>
      </w:pPr>
    </w:p>
    <w:p>
      <w:pPr>
        <w:pStyle w:val="Standard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Vorranggebiet / Konzentrationsfl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 xml:space="preserve">che: </w:t>
      </w:r>
      <w:r>
        <w:rPr>
          <w:b w:val="1"/>
          <w:bCs w:val="1"/>
          <w:sz w:val="22"/>
          <w:szCs w:val="22"/>
          <w:rtl w:val="0"/>
          <w:lang w:val="de-DE"/>
        </w:rPr>
        <w:t>……………</w:t>
      </w:r>
      <w:r>
        <w:rPr>
          <w:b w:val="1"/>
          <w:bCs w:val="1"/>
          <w:sz w:val="22"/>
          <w:szCs w:val="22"/>
          <w:rtl w:val="0"/>
          <w:lang w:val="de-DE"/>
        </w:rPr>
        <w:t xml:space="preserve">.. </w:t>
      </w:r>
    </w:p>
    <w:p>
      <w:pPr>
        <w:pStyle w:val="Standard"/>
        <w:rPr>
          <w:b w:val="1"/>
          <w:bCs w:val="1"/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1. Naturschutz -Greifv</w:t>
      </w:r>
      <w:r>
        <w:rPr>
          <w:b w:val="1"/>
          <w:bCs w:val="1"/>
          <w:sz w:val="22"/>
          <w:szCs w:val="22"/>
          <w:rtl w:val="0"/>
          <w:lang w:val="de-DE"/>
        </w:rPr>
        <w:t>ö</w:t>
      </w:r>
      <w:r>
        <w:rPr>
          <w:b w:val="1"/>
          <w:bCs w:val="1"/>
          <w:sz w:val="22"/>
          <w:szCs w:val="22"/>
          <w:rtl w:val="0"/>
          <w:lang w:val="de-DE"/>
        </w:rPr>
        <w:t>gel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Das Vorranggebiet / die Konzentrationsfl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wird von vielen gesch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tzten Vogelarten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berflogen, u.a. von Rotmilanen, Eulen, Schwarzst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rchen, Wespenbussarden und 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usebussarden. Rotmilane, aber auch andere Greifv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gel nutzen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 Jagd gerne 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chen mit niedriger Vegetation. Freifl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chen um Windkraftanlagen bieten ideale Bedingungen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 Jagd, wie Ornithologen festgestellt haben. Rotmilane aber auch andere Greifv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gel sind damit besonders intensiv im Bereich der Windkraft Energieanlagen (WEA) gef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hrdet. Kollisionen mit Windkraftanlagen sind inzwischen die 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ufigste Todesursache von Greifv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geln in Deutschland, besonders von Rotmilanen und gef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hrden den Weiterbestand der Art(en). Nach Sch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tzungen der Wildtierstiftung sterben j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hrlich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12.000 Greifv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gel. Es wird deshalb eine umfassende SUP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das Vorranggebiet gefordert.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Bitte teilen Sie mir mit, ob eine umf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ngliche SUP von einem neutralen Sachverst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ndigenb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ro durchgef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hrt werden wird. Sachverst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ndigenb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ros, die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Betreiber 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tig sind und in der Vergangenheit zu unrealistischen Ergebnissen kamen, d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rfen nicht als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unabh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ngig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von der Genehmigungsbeh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rde anerkannt werden!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ausliegende Umweltbericht 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sst zudem nicht erkennen, dass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berhaupt eine konkrete Untersuchung/Bewertung der Vorranggebiete / Konzentrationsfl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chen stattgefunden hat. Er entspricht folglich nicht den Anforderungen an eine Umweltpr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fung nach </w:t>
      </w:r>
      <w:r>
        <w:rPr>
          <w:sz w:val="22"/>
          <w:szCs w:val="22"/>
          <w:rtl w:val="0"/>
          <w:lang w:val="de-DE"/>
        </w:rPr>
        <w:t xml:space="preserve">§ </w:t>
      </w:r>
      <w:r>
        <w:rPr>
          <w:sz w:val="22"/>
          <w:szCs w:val="22"/>
          <w:rtl w:val="0"/>
          <w:lang w:val="de-DE"/>
        </w:rPr>
        <w:t>9 ROG. Der derzeit ausliegende Entwurf des TFNP ist aus diesem Grund rechtswidrig.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2. Naturschutz -Schwarzstorch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/ Konzentrationsfl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z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hlt zu dem Einzugsbereich des Schwarzstorches, entsprechend der Ihnen vorliegenden Schwarzstorchstudie des Biologen Dirk Bernd. Die geplanten WEA auf der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sind eine massive Gef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hrdung der Schwarzstorchpopulation, die bereits in ihrem Fortbestand gef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hrdet ist. Eine Genehmigung der WEA 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re ein massiver Versto</w:t>
      </w:r>
      <w:r>
        <w:rPr>
          <w:sz w:val="22"/>
          <w:szCs w:val="22"/>
          <w:rtl w:val="0"/>
          <w:lang w:val="de-DE"/>
        </w:rPr>
        <w:t xml:space="preserve">ß </w:t>
      </w:r>
      <w:r>
        <w:rPr>
          <w:sz w:val="22"/>
          <w:szCs w:val="22"/>
          <w:rtl w:val="0"/>
          <w:lang w:val="de-DE"/>
        </w:rPr>
        <w:t>gegen den Artenschutz. Auch unter diesem Aspekt wird eine SUP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das Vorranggebiet gefordert.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Bitte teilen Sie mir mit, ob eine umf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ngliche SUP von einem neutralen Sachverst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ndigenb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ro durchgef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hrt werden wird. Sachverst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ndigenb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ros, die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Betreiber 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tig sind und in der Vergangenheit zu unrealistischen Ergebnissen kamen, d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rfen nicht als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unabh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ngig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von der Genehmigungsbeh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rde anerkannt werden!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ausliegende Umweltbericht 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sst zudem nicht erkennen, dass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berhaupt eine konkrete Untersuchung/Bewertung der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/ Konzentrationsfl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chen stattgefunden hat. Er entspricht folglich nicht den Anforderungen an eine Umweltpr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fung nach </w:t>
      </w:r>
      <w:r>
        <w:rPr>
          <w:sz w:val="22"/>
          <w:szCs w:val="22"/>
          <w:rtl w:val="0"/>
          <w:lang w:val="de-DE"/>
        </w:rPr>
        <w:t xml:space="preserve">§ </w:t>
      </w:r>
      <w:r>
        <w:rPr>
          <w:sz w:val="22"/>
          <w:szCs w:val="22"/>
          <w:rtl w:val="0"/>
          <w:lang w:val="de-DE"/>
        </w:rPr>
        <w:t>9 ROG. Der derzeit ausliegende Entwurf des TFNP ist aus diesem Grund rechtswidrig.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3. Naturschutz -Flederm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use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Beim Durchflug von WEA platzen die Lungenbl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schen von Flederm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usen, woran sie qualvoll sterben. In der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gibt es viele der folgenden, gesch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tzten Arten: </w:t>
      </w:r>
    </w:p>
    <w:p>
      <w:pPr>
        <w:pStyle w:val="Defaul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Mopsfledermaus, Bechsteinfledermaus, Kleinabendsegler, Abendsegler, Fransenfledermaus, Wasserfledermaus, Gro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ß</w:t>
      </w:r>
      <w:r>
        <w:rPr>
          <w:rFonts w:ascii="Times New Roman" w:hAnsi="Times New Roman"/>
          <w:sz w:val="22"/>
          <w:szCs w:val="22"/>
          <w:rtl w:val="0"/>
          <w:lang w:val="de-DE"/>
        </w:rPr>
        <w:t>e Bartfledermaus, Braunes Langohr, M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ckenfledermaus, Zwergfledermaus, Breitfl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gelfledermaus, Zweifarbfledermaus, Nordfledermaus und die besonders gef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hrdete Rauhautfledermaus. </w:t>
      </w:r>
    </w:p>
    <w:p>
      <w:pPr>
        <w:pStyle w:val="Defaul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Windkraftanlagen k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ö</w:t>
      </w:r>
      <w:r>
        <w:rPr>
          <w:rFonts w:ascii="Times New Roman" w:hAnsi="Times New Roman"/>
          <w:sz w:val="22"/>
          <w:szCs w:val="22"/>
          <w:rtl w:val="0"/>
          <w:lang w:val="de-DE"/>
        </w:rPr>
        <w:t>nnen demzufolge auf der Vorrangfl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che nicht genehmigt werden.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Times New Roman" w:hAnsi="Times New Roman"/>
          <w:sz w:val="22"/>
          <w:szCs w:val="22"/>
          <w:rtl w:val="0"/>
          <w:lang w:val="de-DE"/>
        </w:rPr>
        <w:t>Ein Betrieb w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>re nur in den Wintermonaten statthaft, wenn Flederm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>use nicht fliegen und nicht auf dem Durchflug sind. Dies stellt einen wirtschaftlichen Betrieb der m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ö</w:t>
      </w:r>
      <w:r>
        <w:rPr>
          <w:rFonts w:ascii="Times New Roman" w:hAnsi="Times New Roman"/>
          <w:sz w:val="22"/>
          <w:szCs w:val="22"/>
          <w:rtl w:val="0"/>
          <w:lang w:val="de-DE"/>
        </w:rPr>
        <w:t>glichen WEA generell an diesem Standort in Frage. Die Einhaltung der Zeiten w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rden von mir 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Fonts w:ascii="Times New Roman" w:hAnsi="Times New Roman"/>
          <w:sz w:val="22"/>
          <w:szCs w:val="22"/>
          <w:rtl w:val="0"/>
          <w:lang w:val="de-DE"/>
        </w:rPr>
        <w:t>berwacht werden, sollte es zu einer Ausweisung eines Vorranggebietes kommen und WEA errichtet werden. Auch gerichtliche Schritte zur Einhaltung der Abschaltzeiten w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sz w:val="22"/>
          <w:szCs w:val="22"/>
          <w:rtl w:val="0"/>
          <w:lang w:val="de-DE"/>
        </w:rPr>
        <w:t>ren nicht ausgeschlossen.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Auch unter diesem Aspekt muss eine umf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ngliche SUP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das o.g. Vorranggebiet gefordert werden.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Bitte teilen Sie mir mit, ob eine umf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ngliche SUP von einem neutralen Sachverst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ndigenb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ro durchgef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hrt werden wird. Sachverst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ndigenb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ros, die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Betreiber 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tig sind und in der Vergangenheit zu unrealistischen Ergebnissen kamen, d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rfen nicht als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unabh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ngig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von der Genehmigungsbeh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rde anerkannt werden!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ausliegende Umweltbericht 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sst zudem nicht erkennen, dass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berhaupt eine konkrete Untersuchung/Bewertung der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/ Konzentrationsfl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chen stattgefunden hat. Er entspricht folglich nicht den Anforderungen an eine Umweltpr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fung nach </w:t>
      </w:r>
      <w:r>
        <w:rPr>
          <w:sz w:val="22"/>
          <w:szCs w:val="22"/>
          <w:rtl w:val="0"/>
          <w:lang w:val="de-DE"/>
        </w:rPr>
        <w:t xml:space="preserve">§ </w:t>
      </w:r>
      <w:r>
        <w:rPr>
          <w:sz w:val="22"/>
          <w:szCs w:val="22"/>
          <w:rtl w:val="0"/>
          <w:lang w:val="de-DE"/>
        </w:rPr>
        <w:t>9 ROG. Der derzeit ausliegende Entwurf des TFNP ist aus diesem Grund rechtswidrig.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4. Greifvogel-Durchzugskorridor mit 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>berregionaler Bedeutung</w:t>
      </w:r>
      <w:r>
        <w:rPr>
          <w:sz w:val="22"/>
          <w:szCs w:val="22"/>
          <w:rtl w:val="0"/>
          <w:lang w:val="de-DE"/>
        </w:rPr>
        <w:t xml:space="preserve">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Stichprobenartig durchgef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hrte Analysen im Fr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hjahr 2015 zeigten an 10 Beobachtunstagen 566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berfl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ge von ausgewiesenen Greifvogelarten, die zeigen, dass sich die 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henz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ge im Odenwald-Dreieck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Eberbach- Beerfelden-Mudau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 xml:space="preserve">zu einem Greifvogel-Durchzugskorridor mit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berregionaler Bedeutung etabliert haben 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nnten. Dies verlangt eine genaue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fung, bevor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berhaupt WEA geplant werden d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rfen. Auch hier: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ausliegende Umweltbericht 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sst nicht erkennen, dass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berhaupt eine konkrete Untersuchung/Bewertung der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/ Konzentrationsfl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chen stattgefunden hat. Er entspricht folglich nicht den Anforderungen an eine Umweltpr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fung nach </w:t>
      </w:r>
      <w:r>
        <w:rPr>
          <w:sz w:val="22"/>
          <w:szCs w:val="22"/>
          <w:rtl w:val="0"/>
          <w:lang w:val="de-DE"/>
        </w:rPr>
        <w:t xml:space="preserve">§ </w:t>
      </w:r>
      <w:r>
        <w:rPr>
          <w:sz w:val="22"/>
          <w:szCs w:val="22"/>
          <w:rtl w:val="0"/>
          <w:lang w:val="de-DE"/>
        </w:rPr>
        <w:t>9 ROG. Der derzeit ausliegende Entwurf des TFNP ist aus diesem Grund rechtswidrig.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5. Naturschutz - Haselm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use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Es ist zu erwarten, dass in der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Haselm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use beheimatet sind.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>Die Haselmaus ist eine Tierart des Anhangs IV der FFH-Richtlinie. In Deutschland ist diese Art somit streng gesch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tzt. Vergr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mungsma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nahmen sind nicht zul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ssig!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Haselmaus wird in der Roten Liste gef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hrdeter Arten der IUCN gef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hrt und 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llt unter die Berner Konvention (Anhang 3).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Bitte teilen Sie mir mit, wie das Vorkommen der Haselm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use gepr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ft werden soll und welche wirksamen Schutzma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nahmen getroffen werden.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ausliegende Umweltbericht 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sst zudem nicht erkennen, dass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berhaupt eine konkrete Untersuchung/Bewertung der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/ Konzentrationsfl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chen stattgefunden hat. Er entspricht folglich nicht den Anforderungen an eine Umweltpr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fung nach </w:t>
      </w:r>
      <w:r>
        <w:rPr>
          <w:sz w:val="22"/>
          <w:szCs w:val="22"/>
          <w:rtl w:val="0"/>
          <w:lang w:val="de-DE"/>
        </w:rPr>
        <w:t xml:space="preserve">§ </w:t>
      </w:r>
      <w:r>
        <w:rPr>
          <w:sz w:val="22"/>
          <w:szCs w:val="22"/>
          <w:rtl w:val="0"/>
          <w:lang w:val="de-DE"/>
        </w:rPr>
        <w:t>9 ROG. Der derzeit ausliegende Entwurf des TFNP ist aus diesem Grund rechtswidrig.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5. Gesundheit Infraschall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Die aktuelle Infraschall-Studie von der </w:t>
      </w:r>
      <w:r>
        <w:rPr>
          <w:b w:val="1"/>
          <w:bCs w:val="1"/>
          <w:sz w:val="22"/>
          <w:szCs w:val="22"/>
          <w:rtl w:val="0"/>
          <w:lang w:val="de-DE"/>
        </w:rPr>
        <w:t>Charit</w:t>
      </w:r>
      <w:r>
        <w:rPr>
          <w:b w:val="1"/>
          <w:bCs w:val="1"/>
          <w:sz w:val="22"/>
          <w:szCs w:val="22"/>
          <w:rtl w:val="0"/>
          <w:lang w:val="de-DE"/>
        </w:rPr>
        <w:t xml:space="preserve">é </w:t>
      </w:r>
      <w:r>
        <w:rPr>
          <w:b w:val="1"/>
          <w:bCs w:val="1"/>
          <w:sz w:val="22"/>
          <w:szCs w:val="22"/>
          <w:rtl w:val="0"/>
          <w:lang w:val="de-DE"/>
        </w:rPr>
        <w:t>(Berlin), der Physikalisch Technischen Bundesanstalt (PTB) Braunschweig und des Universit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tsklinikums Hamburg-Eppendorf (UKE)</w:t>
      </w:r>
      <w:r>
        <w:rPr>
          <w:sz w:val="22"/>
          <w:szCs w:val="22"/>
          <w:rtl w:val="0"/>
          <w:lang w:val="de-DE"/>
        </w:rPr>
        <w:t xml:space="preserve"> </w:t>
      </w:r>
      <w:bookmarkStart w:name="artTitle" w:id="0"/>
      <w:bookmarkEnd w:id="0"/>
      <w:r>
        <w:rPr>
          <w:sz w:val="22"/>
          <w:szCs w:val="22"/>
          <w:u w:val="single"/>
          <w:rtl w:val="0"/>
          <w:lang w:val="de-DE"/>
        </w:rPr>
        <w:t>„</w:t>
      </w:r>
      <w:r>
        <w:rPr>
          <w:sz w:val="22"/>
          <w:szCs w:val="22"/>
          <w:u w:val="single"/>
          <w:rtl w:val="0"/>
          <w:lang w:val="de-DE"/>
        </w:rPr>
        <w:t xml:space="preserve">Altered cortical and subcortical connectivity due to infrasound administered near the hearing threshold </w:t>
      </w:r>
      <w:r>
        <w:rPr>
          <w:sz w:val="22"/>
          <w:szCs w:val="22"/>
          <w:u w:val="single"/>
          <w:rtl w:val="0"/>
          <w:lang w:val="de-DE"/>
        </w:rPr>
        <w:t xml:space="preserve">– </w:t>
      </w:r>
      <w:r>
        <w:rPr>
          <w:sz w:val="22"/>
          <w:szCs w:val="22"/>
          <w:u w:val="single"/>
          <w:rtl w:val="0"/>
          <w:lang w:val="de-DE"/>
        </w:rPr>
        <w:t>Evidence from fMRI</w:t>
      </w:r>
      <w:r>
        <w:rPr>
          <w:sz w:val="22"/>
          <w:szCs w:val="22"/>
          <w:u w:val="single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kommt zu alarmierenden Ergebnissen: Mittels fMRT-Untersuchungen wurde nachgewiesen, dass der von Windkraftanlagen erzeugte Infraschall st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rend auf das menschliche Gehirn einwirkt. 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Aus dem aktuellen Infraschall-Flyer der Webseite Windwahn vom 4. Mai 2017: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 xml:space="preserve">Die permanenten Druckwellen aktivieren unser Ur-Gehirn </w:t>
      </w:r>
      <w:r>
        <w:rPr>
          <w:sz w:val="22"/>
          <w:szCs w:val="22"/>
          <w:rtl w:val="0"/>
          <w:lang w:val="de-DE"/>
        </w:rPr>
        <w:t xml:space="preserve">– </w:t>
      </w:r>
      <w:r>
        <w:rPr>
          <w:sz w:val="22"/>
          <w:szCs w:val="22"/>
          <w:rtl w:val="0"/>
          <w:lang w:val="de-DE"/>
        </w:rPr>
        <w:t xml:space="preserve">das Stammhirn </w:t>
      </w:r>
      <w:r>
        <w:rPr>
          <w:sz w:val="22"/>
          <w:szCs w:val="22"/>
          <w:rtl w:val="0"/>
          <w:lang w:val="de-DE"/>
        </w:rPr>
        <w:t xml:space="preserve">– </w:t>
      </w:r>
      <w:r>
        <w:rPr>
          <w:sz w:val="22"/>
          <w:szCs w:val="22"/>
          <w:rtl w:val="0"/>
          <w:lang w:val="de-DE"/>
        </w:rPr>
        <w:t>das uns in einen Fluchtmodus versetzt (unproduktiver Stress). So werden dauerhaft Stresshormone ausgesch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ttet, u. a. Risikofaktor Nummer eins bei Herzinfarkt. Die dauerhafte Aussch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ttung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hrt zum Burnout, unsere Zellstrukturen in den Hohlr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umen (Bronchien, Blutgef</w:t>
      </w:r>
      <w:r>
        <w:rPr>
          <w:sz w:val="22"/>
          <w:szCs w:val="22"/>
          <w:rtl w:val="0"/>
          <w:lang w:val="de-DE"/>
        </w:rPr>
        <w:t>äß</w:t>
      </w:r>
      <w:r>
        <w:rPr>
          <w:sz w:val="22"/>
          <w:szCs w:val="22"/>
          <w:rtl w:val="0"/>
          <w:lang w:val="de-DE"/>
        </w:rPr>
        <w:t>e, Darm) ver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ndern sich; es kommt zu Verh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rtungen, Entz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ndungen, Geschw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ren und Krebs</w:t>
      </w:r>
      <w:r>
        <w:rPr>
          <w:sz w:val="22"/>
          <w:szCs w:val="22"/>
          <w:rtl w:val="0"/>
          <w:lang w:val="de-DE"/>
        </w:rPr>
        <w:t>“</w:t>
      </w:r>
      <w:r>
        <w:rPr>
          <w:sz w:val="22"/>
          <w:szCs w:val="22"/>
          <w:rtl w:val="0"/>
          <w:lang w:val="de-DE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Die </w:t>
      </w:r>
      <w:r>
        <w:rPr>
          <w:b w:val="1"/>
          <w:bCs w:val="1"/>
          <w:sz w:val="22"/>
          <w:szCs w:val="22"/>
          <w:rtl w:val="0"/>
          <w:lang w:val="de-DE"/>
        </w:rPr>
        <w:t>Bundesanstalt f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 xml:space="preserve">r Geowissenschaften und Rohstoffe kommt in der Studie </w:t>
      </w:r>
      <w:r>
        <w:rPr>
          <w:b w:val="1"/>
          <w:bCs w:val="1"/>
          <w:sz w:val="22"/>
          <w:szCs w:val="22"/>
          <w:rtl w:val="0"/>
          <w:lang w:val="de-DE"/>
        </w:rPr>
        <w:t>„</w:t>
      </w:r>
      <w:r>
        <w:rPr>
          <w:sz w:val="22"/>
          <w:szCs w:val="22"/>
          <w:u w:val="single"/>
          <w:rtl w:val="0"/>
          <w:lang w:val="de-DE"/>
        </w:rPr>
        <w:t>Der unh</w:t>
      </w:r>
      <w:r>
        <w:rPr>
          <w:sz w:val="22"/>
          <w:szCs w:val="22"/>
          <w:u w:val="single"/>
          <w:rtl w:val="0"/>
          <w:lang w:val="de-DE"/>
        </w:rPr>
        <w:t>ö</w:t>
      </w:r>
      <w:r>
        <w:rPr>
          <w:sz w:val="22"/>
          <w:szCs w:val="22"/>
          <w:u w:val="single"/>
          <w:rtl w:val="0"/>
          <w:lang w:val="de-DE"/>
        </w:rPr>
        <w:t>rbare Schall von Windkraftanlagen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(Projektanfang</w:t>
      </w:r>
      <w:r>
        <w:rPr>
          <w:b w:val="1"/>
          <w:bCs w:val="1"/>
          <w:sz w:val="22"/>
          <w:szCs w:val="22"/>
          <w:rtl w:val="0"/>
          <w:lang w:val="de-DE"/>
        </w:rPr>
        <w:t xml:space="preserve">: </w:t>
      </w:r>
      <w:r>
        <w:rPr>
          <w:sz w:val="22"/>
          <w:szCs w:val="22"/>
          <w:rtl w:val="0"/>
          <w:lang w:val="de-DE"/>
        </w:rPr>
        <w:t>01.04.2004, Projektende</w:t>
      </w:r>
      <w:r>
        <w:rPr>
          <w:b w:val="1"/>
          <w:bCs w:val="1"/>
          <w:sz w:val="22"/>
          <w:szCs w:val="22"/>
          <w:rtl w:val="0"/>
          <w:lang w:val="de-DE"/>
        </w:rPr>
        <w:t xml:space="preserve">: </w:t>
      </w:r>
      <w:r>
        <w:rPr>
          <w:sz w:val="22"/>
          <w:szCs w:val="22"/>
          <w:rtl w:val="0"/>
          <w:lang w:val="de-DE"/>
        </w:rPr>
        <w:t>31.12.2016) zu den Ergebnissen, dass der Infraschall von nur einer WEA sich noch in 25 km Entfernung messen 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sst, der von mehreren WEA's sogar noch viel weiter. 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Das </w:t>
      </w:r>
      <w:r>
        <w:rPr>
          <w:b w:val="1"/>
          <w:bCs w:val="1"/>
          <w:sz w:val="22"/>
          <w:szCs w:val="22"/>
          <w:rtl w:val="0"/>
          <w:lang w:val="de-DE"/>
        </w:rPr>
        <w:t>KIT (Karlsruher Institut f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>r Technologie)</w:t>
      </w:r>
      <w:r>
        <w:rPr>
          <w:sz w:val="22"/>
          <w:szCs w:val="22"/>
          <w:rtl w:val="0"/>
          <w:lang w:val="de-DE"/>
        </w:rPr>
        <w:t xml:space="preserve"> stellt in Zusammenarbeit mit der </w:t>
      </w:r>
      <w:r>
        <w:rPr>
          <w:b w:val="1"/>
          <w:bCs w:val="1"/>
          <w:sz w:val="22"/>
          <w:szCs w:val="22"/>
          <w:rtl w:val="0"/>
          <w:lang w:val="de-DE"/>
        </w:rPr>
        <w:t>Universit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t Patras</w:t>
      </w:r>
      <w:r>
        <w:rPr>
          <w:sz w:val="22"/>
          <w:szCs w:val="22"/>
          <w:rtl w:val="0"/>
          <w:lang w:val="de-DE"/>
        </w:rPr>
        <w:t xml:space="preserve"> (in Griechenland) in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"http://www.sciencedirect.com/science/journal/02677261"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Soil Dynamics and 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"http://www.sciencedirect.com/science/journal/02677261"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Earthquake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"http://www.sciencedirect.com/science/journal/02677261"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Engineering</w:t>
      </w:r>
      <w:r>
        <w:rPr/>
        <w:fldChar w:fldCharType="end" w:fldLock="0"/>
      </w:r>
      <w:r>
        <w:rPr>
          <w:sz w:val="22"/>
          <w:szCs w:val="22"/>
          <w:rtl w:val="0"/>
          <w:lang w:val="de-DE"/>
        </w:rPr>
        <w:t xml:space="preserve">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"http://www.sciencedirect.com/science/journal/02677261/99/supp/C"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Volume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"http://www.sciencedirect.com/science/journal/02677261/99/supp/C"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99</w:t>
      </w:r>
      <w:r>
        <w:rPr/>
        <w:fldChar w:fldCharType="end" w:fldLock="0"/>
      </w:r>
      <w:r>
        <w:rPr>
          <w:sz w:val="22"/>
          <w:szCs w:val="22"/>
          <w:rtl w:val="0"/>
          <w:lang w:val="de-DE"/>
        </w:rPr>
        <w:t>, August 2017, Pages 108</w:t>
      </w:r>
      <w:r>
        <w:rPr>
          <w:sz w:val="22"/>
          <w:szCs w:val="22"/>
          <w:rtl w:val="0"/>
          <w:lang w:val="de-DE"/>
        </w:rPr>
        <w:t>–</w:t>
      </w:r>
      <w:r>
        <w:rPr>
          <w:sz w:val="22"/>
          <w:szCs w:val="22"/>
          <w:rtl w:val="0"/>
          <w:lang w:val="de-DE"/>
        </w:rPr>
        <w:t>123) die Studie "</w:t>
      </w:r>
      <w:r>
        <w:rPr>
          <w:sz w:val="22"/>
          <w:szCs w:val="22"/>
          <w:u w:val="single"/>
          <w:rtl w:val="0"/>
          <w:lang w:val="de-DE"/>
        </w:rPr>
        <w:t>Numerical modelling of micro-seismic and infrasound noise radiated by a wind turbine</w:t>
      </w:r>
      <w:r>
        <w:rPr>
          <w:sz w:val="22"/>
          <w:szCs w:val="22"/>
          <w:rtl w:val="0"/>
          <w:lang w:val="de-DE"/>
        </w:rPr>
        <w:t>" vor, die zum Ergebnis kommt, dass die Infraschallbelastung in 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usern infolge der Mikroseismizit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 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here 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rmpegel in einem Haus erzeugen, als im Freien. Das hei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t, dass im Geb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ude 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here Schallpegel bestehen 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nnen als von der WEA abgestrahlt wird. Das wird durch den 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rperschall verursacht, d.h. dass das Grundgestein, das in gro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en Tiefen unterhalb des Bodens liegt, einen zus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tzlichen Anteil am erzeugten akustischen Ger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usch hat. Das erkl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rt, warum so viele Menschen durch WEA krank werden, auch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gr</w:t>
      </w:r>
      <w:r>
        <w:rPr>
          <w:sz w:val="22"/>
          <w:szCs w:val="22"/>
          <w:rtl w:val="0"/>
          <w:lang w:val="de-DE"/>
        </w:rPr>
        <w:t>öß</w:t>
      </w:r>
      <w:r>
        <w:rPr>
          <w:sz w:val="22"/>
          <w:szCs w:val="22"/>
          <w:rtl w:val="0"/>
          <w:lang w:val="de-DE"/>
        </w:rPr>
        <w:t xml:space="preserve">ere Distanzen hinweg. 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de-DE"/>
        </w:rPr>
        <w:t>Auch der deutsche Arbeitgeberverband warnt nachdr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cklich: </w:t>
      </w:r>
    </w:p>
    <w:p>
      <w:pPr>
        <w:pStyle w:val="Standard"/>
      </w:pPr>
      <w:r>
        <w:rPr>
          <w:b w:val="1"/>
          <w:bCs w:val="1"/>
          <w:sz w:val="22"/>
          <w:szCs w:val="22"/>
          <w:rtl w:val="0"/>
          <w:lang w:val="de-DE"/>
        </w:rPr>
        <w:t xml:space="preserve">Dr. med. Thomas Carl Stiller Infraschall </w:t>
      </w:r>
      <w:r>
        <w:rPr>
          <w:b w:val="1"/>
          <w:bCs w:val="1"/>
          <w:sz w:val="22"/>
          <w:szCs w:val="22"/>
          <w:rtl w:val="0"/>
          <w:lang w:val="de-DE"/>
        </w:rPr>
        <w:t xml:space="preserve">– </w:t>
      </w:r>
      <w:r>
        <w:rPr>
          <w:b w:val="1"/>
          <w:bCs w:val="1"/>
          <w:sz w:val="22"/>
          <w:szCs w:val="22"/>
          <w:rtl w:val="0"/>
          <w:lang w:val="de-DE"/>
        </w:rPr>
        <w:t xml:space="preserve">der Bumerang der Energiewende: </w:t>
      </w:r>
    </w:p>
    <w:p>
      <w:pPr>
        <w:pStyle w:val="Standard"/>
        <w:rPr>
          <w:sz w:val="22"/>
          <w:szCs w:val="2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"https://deutscherarbeitgeberverband.de/energiefrage/2017/2017_03_27_dav_aktuelles_energiefrage.html"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https://deutscherarbeitgeberverband.de/energiefrage/2017/2017_03_27_dav_aktuelles_energiefrage.html</w:t>
      </w:r>
      <w:r>
        <w:rPr/>
        <w:fldChar w:fldCharType="end" w:fldLock="0"/>
      </w:r>
    </w:p>
    <w:p>
      <w:pPr>
        <w:pStyle w:val="Standard"/>
      </w:pPr>
      <w:r>
        <w:rPr>
          <w:sz w:val="22"/>
          <w:szCs w:val="22"/>
          <w:rtl w:val="0"/>
          <w:lang w:val="de-DE"/>
        </w:rPr>
        <w:t>Filmbericht:</w:t>
      </w:r>
    </w:p>
    <w:p>
      <w:pPr>
        <w:pStyle w:val="Standard"/>
        <w:rPr>
          <w:sz w:val="22"/>
          <w:szCs w:val="2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"https://badisches.de/wenn-gruene-energie-krank-macht/"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https://badisches.de/wenn-gruene-energie-krank-macht/</w:t>
      </w:r>
      <w:r>
        <w:rPr/>
        <w:fldChar w:fldCharType="end" w:fldLock="0"/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Kinder, Schwangere, 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ltere, Menschen mit Vorerkrankungen sind vom Infraschall stark betroffen. Der in Baden-W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rttemberg und Eberbach angewandte Abstand von 1.000 m ist aus gesundheitlichen Gr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nden zu wenig. Auch die Mindestforderung von 10 H wie in Bayern (2.000 - 3000 m) ist bereits wissenschaftlich betrachtet zu gering, da in Siedlungen immer auch Kinder und Alte wohnen. Starre Meterangaben sind ungeeignet, weil WEA unterschiedlich hoch und leistungsstark entsprechend ihrer Megawatt-Zahl sind und die Geologie (Untergrund, Gestein, wasserf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hrende Schichten, Gebirgs- oder Tallagen etc.) gro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>e Auswirkung hat. Wenn man dennoch eine feste Entfernungsangabe festlegen m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chte, 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re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Kinder, Kranke und gesundheitlich Vorgesch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digte (die in allen Siedlungen wohnen) die Mindestentfernung 10.000 m. 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Im Falle einer Genehmigung fordere ich Sie auf, Infraschallmessungen an allen Bebauungsgrenzen im Umkreis von 10.000 m der WEA - vor einem Bau von WEA und 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hrend des Betriebs - um gesundheitliche Sch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den auszuschlie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 xml:space="preserve">en. Ich fordere das Vorsorgeprinzip ein.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Ferner werde ich juristisch 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fen lassen, ob im Rahmen der Gleichberechtigung in Hessen gesundheitssch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dlichere Abst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nde gelten als in Bayern, wo die 10 H Regel gilt und vom Bayerischen Verfassungsgerichtshof best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tigt wurde.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Bitte teilen Sie mir mit, ob Sie Infraschallmessungen vor der Erstellung und 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hrend des m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glichen Betriebs der WEA durchf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hren lassen.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6. Gesundheit Schall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Es wird vermutet, dass die Rechenprogramme der WEA Hersteller zur Berechnung der Schallbelastung den Schall nicht genau ermitteln. Sollten in dem Vorranggebiet WEA erstellt werden, werde ich daf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Sorge tragen, dass der Schall an meinem Wohnsitz gemessen wird und im Fall, dass dieser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den Richtwerten liegt, fordern, die WEA bei Wind abzustellen.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Bitte teilen Sie mir mit, ob Sie im Fall einer Genehmigung die Schallwerte der WEA Hersteller 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hrend des Betriebs bei Wind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fen werden. 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7. Wasserversorgung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Die Wasserversorgung von Eberbach und den angrenzenden Gemeinden erfolgt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berwiegend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Quellen. Das Wasser sickert und flie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 xml:space="preserve">t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Kl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fte und Spalten zu den Quellen. Der Wasserverlauf ist schon im Fall des Rodens, aber sicherlich beim Bau von WEA (ca. 3.500 t Beton pro WEA) gef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hrdet, auch nach den 20 Jahren Laufzeit, wenn der Beton wieder entfernt werden muss. Ist die Wasserversorgung einmal nicht mehr funktionsf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hig, muss eine Ersatzwasserversorgung aufgebaut werden, d.h. die 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rger m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ssen dann langfristig mit steigenden Geb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hren rechnen.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Ich fordere, dass im Fall einer Genehmigung von WEA auf der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/ Konzentrationsfl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und bei Abgang oder Einschr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nkung der bestehenden Wasserversorgung eine Ersatzwasserversorgung auf Kosten des Betreibers zeitlich unbegrenzt, auch nach Abbau der WEA vom Betreiber zur Verf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gung gestellt wird und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eine entsprechende Bankb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rgschaft unbefristet abgesichert ist.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Bitte teilen Sie mir mit, wie die Stadt die Absicherung und Gew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hrleistung der Wasserversorgung zeitlich unbegrenzt und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 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rger kostenneutral absichern wird.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 </w:t>
      </w: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8. Fahrwege und Intensit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t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das Fundament einer WEA sind ca. 3.500 to Beton erforderlich.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die Umwandlung des Erholungsgebiets in ein Industriegebiet braucht es allein ca. 400 LKW Fahrten </w:t>
      </w:r>
      <w:r>
        <w:rPr>
          <w:sz w:val="22"/>
          <w:szCs w:val="22"/>
          <w:rtl w:val="0"/>
          <w:lang w:val="de-DE"/>
        </w:rPr>
        <w:t xml:space="preserve">à </w:t>
      </w:r>
      <w:r>
        <w:rPr>
          <w:sz w:val="22"/>
          <w:szCs w:val="22"/>
          <w:rtl w:val="0"/>
          <w:lang w:val="de-DE"/>
        </w:rPr>
        <w:t>20 to. Das bedeutet eine unglaublich hohe Belastung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 Bewohner und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 Natur, die in der Weise nicht hinzunehmen ist.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9. </w:t>
      </w:r>
      <w:r>
        <w:rPr>
          <w:b w:val="1"/>
          <w:bCs w:val="1"/>
          <w:sz w:val="22"/>
          <w:szCs w:val="22"/>
          <w:rtl w:val="0"/>
          <w:lang w:val="de-DE"/>
        </w:rPr>
        <w:t>Ö</w:t>
      </w:r>
      <w:r>
        <w:rPr>
          <w:b w:val="1"/>
          <w:bCs w:val="1"/>
          <w:sz w:val="22"/>
          <w:szCs w:val="22"/>
          <w:rtl w:val="0"/>
          <w:lang w:val="de-DE"/>
        </w:rPr>
        <w:t>kologie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Bis jetzt ist kein Recycling der Fl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gel aus Karbonfaserverbindungen bekannt, d.h. die Entsorgung der Fl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gel erfolgt offenbar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Deponien. Der M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ll bleibt dort Jahrtausende, genauer gesagt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immer erhalten. Es ist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mich nicht hinnehmbar, dass eine Energieerzeugung, insbesondere eine als 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kologisch und als erneuerbar angepriesene kein Entsorgungskonzept hat und zu dauerhaftem M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ll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hrt. Bitte teilen Sie mir mit, wie die Entsorgung der WEA, insbesondere der Fl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gel vorgenommen werden wird.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10. Brandschutz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>Windkraftanlagen bringen ein hohes Brandpotential (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le, Schmierstoffe, Kunststoffe) mit sich. Br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nde 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nnen, mit den im Landkreis verf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gbaren Mitteln zur Brandabwehr, nicht wirksam bek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mpft werden.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>Ich fordere, dass die Betreiber von WEA deshalb selbst den vorsorglichen und abwehrenden Brandschutz jederzeit sicherstellen m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ssen. Br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nde bei WEA m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ssen mit automatischen L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schanlagen bek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mpft werden. Alle Einsatzkr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fte m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ssen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 automatische Brandmeldeanlagen mit Anbindung zur Kreis-Leitstelle sofort bei Vorkommnissen informiert werden. Dass Feuerwehren nur zusehen 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nnen, wie brennende Anlagen umst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rzen, 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lder entflammen, Anwohner und Spazierg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nger gef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hrdet werden, entspricht nicht dem Stand der Technik und nicht dem Schutzauftrag der Feuerwehren.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Bitte teilen Sie mir mit, wie das Feuerwehrkonzept auf der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aussieht.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11. Landschaftsschutz, Tourismus und optische Bedr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ngung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Odenwald wurde als UNESCO Geo-Naturpark zertifiziert. Dieses Pr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dikat wird durch die Errichtung von WEA gef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hrdet und somit der Tourismus und die Naherholungsregion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Odenwald</w:t>
      </w:r>
      <w:r>
        <w:rPr>
          <w:sz w:val="22"/>
          <w:szCs w:val="22"/>
          <w:rtl w:val="0"/>
          <w:lang w:val="de-DE"/>
        </w:rPr>
        <w:t xml:space="preserve">“ </w:t>
      </w:r>
      <w:r>
        <w:rPr>
          <w:sz w:val="22"/>
          <w:szCs w:val="22"/>
          <w:rtl w:val="0"/>
          <w:lang w:val="de-DE"/>
        </w:rPr>
        <w:t>nachhaltig geschw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cht. Riesige Windkraftanlagen pr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gen das Bild einer Landschaft und lenken den Blick ab von vorhandenen Natursch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nheiten und Kulturdenkm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lern.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>Nach Errichtung einer WEA wird der Landschaftswert einer Gemarkung mit einem deutlichen Reduktionsfaktor abgewertet. Diese Abwertung des Landschaftswertes erleichtert WEA-Planern den Ausbau von weiteren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chen und kann deshalb nicht im Interesse des UNESCO Geo-Naturparkes Odenwald und der 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ffentlichkeit sein.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de-DE"/>
        </w:rPr>
        <w:t>Ich fordere, dass auf Kosten der WKA-Antragsteller realistische 3D-Modelle auf Basis der staatlich vorliegenden Geodaten erstellt werden m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ssen! Bildmontagen d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rfen nicht als Beurteilungsgrundlage akzeptiert werden. Es ist nachzuweisen, dass an den Bebauungsgrenzen keine optische Bedr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ngung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Anwohner entsteht und keine Blickbez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ge von und zu Kulturg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tern (z. Bsp. von Burg zu Burg) gest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rt werden. Ich fordere deshalb eine Pr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fung mit Einbeziehung von B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rgern, Tourismusverb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nden und der regionalen Naturparkverwaltungen und bitte Sie, mir mitzuteilen, wie diese umgesetzt werden sollen.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12. Antrag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Hiermit beantrage ich, die o.g.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die Nutzung der Windenergie wegen Versto</w:t>
      </w:r>
      <w:r>
        <w:rPr>
          <w:sz w:val="22"/>
          <w:szCs w:val="22"/>
          <w:rtl w:val="0"/>
          <w:lang w:val="de-DE"/>
        </w:rPr>
        <w:t>ß</w:t>
      </w:r>
      <w:r>
        <w:rPr>
          <w:sz w:val="22"/>
          <w:szCs w:val="22"/>
          <w:rtl w:val="0"/>
          <w:lang w:val="de-DE"/>
        </w:rPr>
        <w:t xml:space="preserve">es gegen </w:t>
      </w:r>
      <w:r>
        <w:rPr>
          <w:sz w:val="22"/>
          <w:szCs w:val="22"/>
          <w:rtl w:val="0"/>
          <w:lang w:val="de-DE"/>
        </w:rPr>
        <w:t xml:space="preserve">§ </w:t>
      </w:r>
      <w:r>
        <w:rPr>
          <w:sz w:val="22"/>
          <w:szCs w:val="22"/>
          <w:rtl w:val="0"/>
          <w:lang w:val="de-DE"/>
        </w:rPr>
        <w:t>2 Nr. 5 und 6 ROG nicht auszuweisen.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Desweiteren wird beantragt, den Odenwald aufgrund seiner hohen Bedeutung als Kulturlandschaft (UNESCO-Geonaturpark) sowie die Rh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 (UNSECO-Biosph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renreservat) insgesamt vom Ausweis von Vorrangfl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chen zur Nutzung der Windenergie auszunehmen.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............................................., den ...............             ............................................</w:t>
      </w:r>
    </w:p>
    <w:p>
      <w:pPr>
        <w:pStyle w:val="Standard"/>
      </w:pPr>
      <w:r>
        <w:rPr>
          <w:sz w:val="22"/>
          <w:szCs w:val="22"/>
          <w:rtl w:val="0"/>
          <w:lang w:val="de-DE"/>
        </w:rPr>
        <w:t xml:space="preserve">Ort </w:t>
        <w:tab/>
        <w:tab/>
        <w:tab/>
        <w:t xml:space="preserve">                   Datum   </w:t>
        <w:tab/>
        <w:tab/>
        <w:tab/>
        <w:t>Unterschrift</w:t>
      </w:r>
    </w:p>
    <w:sectPr>
      <w:headerReference w:type="default" r:id="rId4"/>
      <w:footerReference w:type="default" r:id="rId5"/>
      <w:pgSz w:w="11900" w:h="16840" w:orient="portrait"/>
      <w:pgMar w:top="851" w:right="1418" w:bottom="851" w:left="1418" w:header="709" w:footer="709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Fett">
    <w:name w:val="Fett"/>
    <w:rPr>
      <w:rFonts w:ascii="Times New Roman" w:hAnsi="Times New Roman"/>
      <w:b w:val="1"/>
      <w:bCs w:val="1"/>
      <w:lang w:val="de-D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ffffff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</w:rPr>
  </w:style>
  <w:style w:type="character" w:styleId="Hyperlink.0">
    <w:name w:val="Hyperlink.0"/>
    <w:basedOn w:val="Hyperlink"/>
    <w:next w:val="Hyperlink.0"/>
    <w:rPr>
      <w:color w:val="0000ff"/>
      <w:u w:val="single" w:color="00000a"/>
    </w:rPr>
  </w:style>
  <w:style w:type="character" w:styleId="Hyperlink.1">
    <w:name w:val="Hyperlink.1"/>
    <w:basedOn w:val="Hyperlink.0"/>
    <w:next w:val="Hyperlink.1"/>
    <w:rPr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